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43001-291/2020-0</w:t>
            </w:r>
            <w:r w:rsidR="006842C2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597E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597ED0" w:rsidRDefault="00597ED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7</w:t>
      </w:r>
      <w:r w:rsidR="00D846EE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85EE5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842C2"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:rsidR="00E813F4" w:rsidRPr="00685EE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685EE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85EE5">
        <w:rPr>
          <w:rFonts w:ascii="Tahoma" w:hAnsi="Tahoma" w:cs="Tahoma"/>
          <w:b/>
          <w:szCs w:val="20"/>
        </w:rPr>
        <w:t>Vprašanje:</w:t>
      </w:r>
    </w:p>
    <w:p w:rsidR="00E813F4" w:rsidRPr="006842C2" w:rsidRDefault="00E813F4" w:rsidP="00B75B3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85EE5" w:rsidRPr="006842C2" w:rsidRDefault="006842C2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6842C2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6842C2">
        <w:rPr>
          <w:rFonts w:ascii="Tahoma" w:hAnsi="Tahoma" w:cs="Tahoma"/>
          <w:color w:val="333333"/>
          <w:szCs w:val="20"/>
        </w:rPr>
        <w:br/>
      </w:r>
      <w:r w:rsidRPr="006842C2">
        <w:rPr>
          <w:rFonts w:ascii="Tahoma" w:hAnsi="Tahoma" w:cs="Tahoma"/>
          <w:color w:val="333333"/>
          <w:szCs w:val="20"/>
        </w:rPr>
        <w:br/>
      </w:r>
      <w:r w:rsidRPr="006842C2">
        <w:rPr>
          <w:rFonts w:ascii="Tahoma" w:hAnsi="Tahoma" w:cs="Tahoma"/>
          <w:color w:val="333333"/>
          <w:szCs w:val="20"/>
          <w:shd w:val="clear" w:color="auto" w:fill="FFFFFF"/>
        </w:rPr>
        <w:t>prosimo, da nam posredujete Program monitoringa med gradnjo za površinske vode, iz katerega je razvidno število mest vzorčenja in program preiskav za površinske vode.</w:t>
      </w:r>
    </w:p>
    <w:p w:rsidR="006A2922" w:rsidRDefault="006A2922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842C2" w:rsidRPr="006842C2" w:rsidRDefault="006842C2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842C2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6842C2">
        <w:rPr>
          <w:rFonts w:ascii="Tahoma" w:hAnsi="Tahoma" w:cs="Tahoma"/>
          <w:b/>
          <w:szCs w:val="20"/>
        </w:rPr>
        <w:t>Odgovor:</w:t>
      </w:r>
    </w:p>
    <w:p w:rsidR="00CE2F13" w:rsidRPr="00116B49" w:rsidRDefault="00CE2F13" w:rsidP="00CE2F13">
      <w:pPr>
        <w:rPr>
          <w:sz w:val="22"/>
          <w:szCs w:val="22"/>
        </w:rPr>
      </w:pPr>
    </w:p>
    <w:p w:rsidR="00CE2F13" w:rsidRPr="00116B49" w:rsidRDefault="00CE2F13" w:rsidP="00CE2F13">
      <w:pPr>
        <w:rPr>
          <w:rFonts w:ascii="Tahoma" w:hAnsi="Tahoma" w:cs="Tahoma"/>
          <w:b/>
          <w:bCs/>
          <w:sz w:val="20"/>
          <w:szCs w:val="20"/>
        </w:rPr>
      </w:pPr>
      <w:r w:rsidRPr="00116B49">
        <w:rPr>
          <w:rFonts w:ascii="Tahoma" w:hAnsi="Tahoma" w:cs="Tahoma"/>
          <w:b/>
          <w:bCs/>
          <w:sz w:val="20"/>
          <w:szCs w:val="20"/>
        </w:rPr>
        <w:t>Monitoring, mesto vzorčenja:</w:t>
      </w:r>
    </w:p>
    <w:p w:rsidR="00CE2F13" w:rsidRPr="00116B49" w:rsidRDefault="00CE2F13" w:rsidP="00CE2F13">
      <w:pPr>
        <w:rPr>
          <w:rFonts w:ascii="Tahoma" w:hAnsi="Tahoma" w:cs="Tahoma"/>
          <w:b/>
          <w:bCs/>
          <w:sz w:val="20"/>
          <w:szCs w:val="20"/>
        </w:rPr>
      </w:pPr>
    </w:p>
    <w:p w:rsidR="00CE2F13" w:rsidRPr="00116B49" w:rsidRDefault="00CE2F13" w:rsidP="00F0225A">
      <w:pPr>
        <w:jc w:val="both"/>
        <w:rPr>
          <w:rFonts w:ascii="Tahoma" w:hAnsi="Tahoma" w:cs="Tahoma"/>
          <w:sz w:val="20"/>
          <w:szCs w:val="20"/>
        </w:rPr>
      </w:pPr>
      <w:r w:rsidRPr="00116B49">
        <w:rPr>
          <w:rFonts w:ascii="Tahoma" w:hAnsi="Tahoma" w:cs="Tahoma"/>
          <w:sz w:val="20"/>
          <w:szCs w:val="20"/>
        </w:rPr>
        <w:t>Za čas gradnje je predviden program spremljanja stanja okolja, s katerim se spremljajo razmere na gradbišču z vidika dodatnih obremenitev površinskih voda na vplivnem območju gradbišča. Dodatne preiskave vode in sedimenta se izvedejo pred začetkom gradnje, med gradnjo (mesečno) in po</w:t>
      </w:r>
      <w:r w:rsidR="00F0225A" w:rsidRPr="00116B49">
        <w:rPr>
          <w:rFonts w:ascii="Tahoma" w:hAnsi="Tahoma" w:cs="Tahoma"/>
          <w:sz w:val="20"/>
          <w:szCs w:val="20"/>
        </w:rPr>
        <w:t xml:space="preserve"> </w:t>
      </w:r>
      <w:r w:rsidRPr="00116B49">
        <w:rPr>
          <w:rFonts w:ascii="Tahoma" w:hAnsi="Tahoma" w:cs="Tahoma"/>
          <w:sz w:val="20"/>
          <w:szCs w:val="20"/>
        </w:rPr>
        <w:t xml:space="preserve">zaključenih gradbenih delih. Vzorčno mesto je eno - nizvodno od gradbišča, </w:t>
      </w:r>
      <w:r w:rsidR="00F0225A" w:rsidRPr="00116B49">
        <w:rPr>
          <w:rFonts w:ascii="Tahoma" w:hAnsi="Tahoma" w:cs="Tahoma"/>
          <w:sz w:val="20"/>
          <w:szCs w:val="20"/>
        </w:rPr>
        <w:t xml:space="preserve">vzhodni </w:t>
      </w:r>
      <w:r w:rsidRPr="00116B49">
        <w:rPr>
          <w:rFonts w:ascii="Tahoma" w:hAnsi="Tahoma" w:cs="Tahoma"/>
          <w:sz w:val="20"/>
          <w:szCs w:val="20"/>
        </w:rPr>
        <w:t>potok Graben.</w:t>
      </w:r>
    </w:p>
    <w:p w:rsidR="00CE2F13" w:rsidRPr="00116B49" w:rsidRDefault="00CE2F13" w:rsidP="00CE2F13">
      <w:pPr>
        <w:rPr>
          <w:rFonts w:ascii="Tahoma" w:hAnsi="Tahoma" w:cs="Tahoma"/>
          <w:b/>
          <w:bCs/>
          <w:sz w:val="20"/>
          <w:szCs w:val="20"/>
        </w:rPr>
      </w:pPr>
      <w:bookmarkStart w:id="0" w:name="_Toc226255403"/>
    </w:p>
    <w:p w:rsidR="00CE2F13" w:rsidRPr="00116B49" w:rsidRDefault="00CE2F13" w:rsidP="00CE2F13">
      <w:pPr>
        <w:rPr>
          <w:rFonts w:ascii="Tahoma" w:hAnsi="Tahoma" w:cs="Tahoma"/>
          <w:b/>
          <w:bCs/>
          <w:sz w:val="20"/>
          <w:szCs w:val="20"/>
        </w:rPr>
      </w:pPr>
      <w:r w:rsidRPr="00116B49">
        <w:rPr>
          <w:rFonts w:ascii="Tahoma" w:hAnsi="Tahoma" w:cs="Tahoma"/>
          <w:b/>
          <w:bCs/>
          <w:sz w:val="20"/>
          <w:szCs w:val="20"/>
        </w:rPr>
        <w:t>Podatki o mestih vzorčenja za površinske vode</w:t>
      </w:r>
      <w:bookmarkEnd w:id="0"/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387"/>
        <w:gridCol w:w="2874"/>
        <w:gridCol w:w="960"/>
        <w:gridCol w:w="960"/>
        <w:gridCol w:w="816"/>
      </w:tblGrid>
      <w:tr w:rsidR="00116B49" w:rsidRPr="00116B49" w:rsidTr="00CE2F13">
        <w:trPr>
          <w:tblHeader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3" w:rsidRPr="00116B49" w:rsidRDefault="00CE2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6B49">
              <w:rPr>
                <w:rFonts w:ascii="Tahoma" w:hAnsi="Tahoma" w:cs="Tahoma"/>
                <w:b/>
                <w:bCs/>
                <w:sz w:val="20"/>
                <w:szCs w:val="20"/>
              </w:rPr>
              <w:t>Oznaka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3" w:rsidRPr="00116B49" w:rsidRDefault="00CE2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6B49">
              <w:rPr>
                <w:rFonts w:ascii="Tahoma" w:hAnsi="Tahoma" w:cs="Tahoma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3" w:rsidRPr="00116B49" w:rsidRDefault="00CE2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6B49">
              <w:rPr>
                <w:rFonts w:ascii="Tahoma" w:hAnsi="Tahoma" w:cs="Tahoma"/>
                <w:b/>
                <w:bCs/>
                <w:sz w:val="20"/>
                <w:szCs w:val="20"/>
              </w:rPr>
              <w:t>Značilnosti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3" w:rsidRPr="00116B49" w:rsidRDefault="00CE2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6B49">
              <w:rPr>
                <w:rFonts w:ascii="Tahoma" w:hAnsi="Tahoma" w:cs="Tahoma"/>
                <w:b/>
                <w:bCs/>
                <w:sz w:val="20"/>
                <w:szCs w:val="20"/>
              </w:rPr>
              <w:t>Y (m)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3" w:rsidRPr="00116B49" w:rsidRDefault="00CE2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6B49">
              <w:rPr>
                <w:rFonts w:ascii="Tahoma" w:hAnsi="Tahoma" w:cs="Tahoma"/>
                <w:b/>
                <w:bCs/>
                <w:sz w:val="20"/>
                <w:szCs w:val="20"/>
              </w:rPr>
              <w:t>X (m)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3" w:rsidRPr="00116B49" w:rsidRDefault="00CE2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6B49">
              <w:rPr>
                <w:rFonts w:ascii="Tahoma" w:hAnsi="Tahoma" w:cs="Tahoma"/>
                <w:b/>
                <w:bCs/>
                <w:sz w:val="20"/>
                <w:szCs w:val="20"/>
              </w:rPr>
              <w:t>Z (m)</w:t>
            </w:r>
          </w:p>
        </w:tc>
      </w:tr>
      <w:tr w:rsidR="00116B49" w:rsidRPr="00116B49" w:rsidTr="00CE2F13">
        <w:trPr>
          <w:trHeight w:val="603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3" w:rsidRPr="00116B49" w:rsidRDefault="00CE2F13">
            <w:pPr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PV1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3" w:rsidRPr="00116B49" w:rsidRDefault="00CE2F13">
            <w:pPr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Potok Graben, nizvodno od prečkanja s cesto Moste - Vodice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3" w:rsidRPr="00116B49" w:rsidRDefault="00CE2F13">
            <w:pPr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Struga potoka naravna, brežine obrasle z vodnim rastlinjem, na dnu sediment rjavo-sive barve.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3" w:rsidRPr="00116B49" w:rsidRDefault="00CE2F13">
            <w:pPr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462135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3" w:rsidRPr="00116B49" w:rsidRDefault="00CE2F13">
            <w:pPr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 xml:space="preserve">116152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3" w:rsidRPr="00116B49" w:rsidRDefault="00CE2F13">
            <w:pPr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333</w:t>
            </w:r>
          </w:p>
        </w:tc>
      </w:tr>
    </w:tbl>
    <w:p w:rsidR="00CE2F13" w:rsidRPr="00116B49" w:rsidRDefault="00CE2F13" w:rsidP="00CE2F13">
      <w:pPr>
        <w:rPr>
          <w:rFonts w:ascii="Tahoma" w:eastAsiaTheme="minorHAnsi" w:hAnsi="Tahoma" w:cs="Tahoma"/>
          <w:b/>
          <w:bCs/>
          <w:sz w:val="20"/>
          <w:szCs w:val="20"/>
        </w:rPr>
      </w:pPr>
    </w:p>
    <w:p w:rsidR="00CE2F13" w:rsidRPr="00116B49" w:rsidRDefault="00CE2F13" w:rsidP="00CE2F13">
      <w:pPr>
        <w:rPr>
          <w:rFonts w:ascii="Tahoma" w:hAnsi="Tahoma" w:cs="Tahoma"/>
          <w:b/>
          <w:bCs/>
          <w:sz w:val="20"/>
          <w:szCs w:val="20"/>
        </w:rPr>
      </w:pPr>
      <w:r w:rsidRPr="00116B49">
        <w:rPr>
          <w:rFonts w:ascii="Tahoma" w:hAnsi="Tahoma" w:cs="Tahoma"/>
          <w:b/>
          <w:bCs/>
          <w:sz w:val="20"/>
          <w:szCs w:val="20"/>
        </w:rPr>
        <w:t>Vzorčenje</w:t>
      </w:r>
    </w:p>
    <w:p w:rsidR="00CE2F13" w:rsidRPr="00116B49" w:rsidRDefault="00CE2F13" w:rsidP="00F0225A">
      <w:pPr>
        <w:jc w:val="both"/>
        <w:rPr>
          <w:rFonts w:ascii="Tahoma" w:hAnsi="Tahoma" w:cs="Tahoma"/>
          <w:sz w:val="20"/>
          <w:szCs w:val="20"/>
        </w:rPr>
      </w:pPr>
      <w:r w:rsidRPr="00116B49">
        <w:rPr>
          <w:rFonts w:ascii="Tahoma" w:hAnsi="Tahoma" w:cs="Tahoma"/>
          <w:sz w:val="20"/>
          <w:szCs w:val="20"/>
        </w:rPr>
        <w:t>Vzorčenje vode in sedimenta se izvede po akreditirani metodi skladno z določbami standarda SIST EN ISO/IEC 17025.</w:t>
      </w:r>
    </w:p>
    <w:p w:rsidR="00CE2F13" w:rsidRPr="00116B49" w:rsidRDefault="00CE2F13" w:rsidP="00CE2F13">
      <w:pPr>
        <w:rPr>
          <w:rFonts w:ascii="Tahoma" w:hAnsi="Tahoma" w:cs="Tahoma"/>
          <w:sz w:val="20"/>
          <w:szCs w:val="20"/>
        </w:rPr>
      </w:pPr>
    </w:p>
    <w:p w:rsidR="00CE2F13" w:rsidRPr="00116B49" w:rsidRDefault="00CE2F13" w:rsidP="00CE2F13">
      <w:pPr>
        <w:rPr>
          <w:rFonts w:ascii="Tahoma" w:hAnsi="Tahoma" w:cs="Tahoma"/>
          <w:b/>
          <w:bCs/>
          <w:sz w:val="20"/>
          <w:szCs w:val="20"/>
        </w:rPr>
      </w:pPr>
      <w:r w:rsidRPr="00116B49">
        <w:rPr>
          <w:rFonts w:ascii="Tahoma" w:hAnsi="Tahoma" w:cs="Tahoma"/>
          <w:b/>
          <w:bCs/>
          <w:sz w:val="20"/>
          <w:szCs w:val="20"/>
        </w:rPr>
        <w:t>Kemijska analiza</w:t>
      </w:r>
    </w:p>
    <w:p w:rsidR="00CE2F13" w:rsidRPr="00116B49" w:rsidRDefault="00F0225A" w:rsidP="00F0225A">
      <w:pPr>
        <w:jc w:val="both"/>
        <w:rPr>
          <w:rFonts w:ascii="Tahoma" w:hAnsi="Tahoma" w:cs="Tahoma"/>
          <w:sz w:val="20"/>
          <w:szCs w:val="20"/>
        </w:rPr>
      </w:pPr>
      <w:r w:rsidRPr="00116B49">
        <w:rPr>
          <w:rFonts w:ascii="Tahoma" w:hAnsi="Tahoma" w:cs="Tahoma"/>
          <w:sz w:val="20"/>
          <w:szCs w:val="20"/>
        </w:rPr>
        <w:t xml:space="preserve">Monitoring mora </w:t>
      </w:r>
      <w:r w:rsidR="00CE2F13" w:rsidRPr="00116B49">
        <w:rPr>
          <w:rFonts w:ascii="Tahoma" w:hAnsi="Tahoma" w:cs="Tahoma"/>
          <w:sz w:val="20"/>
          <w:szCs w:val="20"/>
        </w:rPr>
        <w:t>zajema</w:t>
      </w:r>
      <w:r w:rsidRPr="00116B49">
        <w:rPr>
          <w:rFonts w:ascii="Tahoma" w:hAnsi="Tahoma" w:cs="Tahoma"/>
          <w:sz w:val="20"/>
          <w:szCs w:val="20"/>
        </w:rPr>
        <w:t>ti</w:t>
      </w:r>
      <w:r w:rsidR="00CE2F13" w:rsidRPr="00116B49">
        <w:rPr>
          <w:rFonts w:ascii="Tahoma" w:hAnsi="Tahoma" w:cs="Tahoma"/>
          <w:sz w:val="20"/>
          <w:szCs w:val="20"/>
        </w:rPr>
        <w:t xml:space="preserve"> preiskave razmer s kisikom in vsebnosti suspendiranih snovi v vodi ter vsebnosti snovi oz. spojin, ki so lahko po izvoru z območja gradbišča v času izvajanja gradbenih del. Seznam parametrov je za vodo </w:t>
      </w:r>
      <w:r w:rsidRPr="00116B49">
        <w:rPr>
          <w:rFonts w:ascii="Tahoma" w:hAnsi="Tahoma" w:cs="Tahoma"/>
          <w:sz w:val="20"/>
          <w:szCs w:val="20"/>
        </w:rPr>
        <w:t xml:space="preserve">podan </w:t>
      </w:r>
      <w:r w:rsidR="00CE2F13" w:rsidRPr="00116B49">
        <w:rPr>
          <w:rFonts w:ascii="Tahoma" w:hAnsi="Tahoma" w:cs="Tahoma"/>
          <w:sz w:val="20"/>
          <w:szCs w:val="20"/>
        </w:rPr>
        <w:t xml:space="preserve">v tabeli 1 in za sediment v tabeli </w:t>
      </w:r>
      <w:r w:rsidR="00A061A0" w:rsidRPr="00116B49">
        <w:rPr>
          <w:rFonts w:ascii="Tahoma" w:hAnsi="Tahoma" w:cs="Tahoma"/>
          <w:sz w:val="20"/>
          <w:szCs w:val="20"/>
        </w:rPr>
        <w:t>2</w:t>
      </w:r>
      <w:r w:rsidR="00CE2F13" w:rsidRPr="00116B49">
        <w:rPr>
          <w:rFonts w:ascii="Tahoma" w:hAnsi="Tahoma" w:cs="Tahoma"/>
          <w:sz w:val="20"/>
          <w:szCs w:val="20"/>
        </w:rPr>
        <w:t xml:space="preserve">. Rezultati preskušanj </w:t>
      </w:r>
      <w:r w:rsidRPr="00116B49">
        <w:rPr>
          <w:rFonts w:ascii="Tahoma" w:hAnsi="Tahoma" w:cs="Tahoma"/>
          <w:sz w:val="20"/>
          <w:szCs w:val="20"/>
        </w:rPr>
        <w:t>morajo biti</w:t>
      </w:r>
      <w:r w:rsidR="00CE2F13" w:rsidRPr="00116B49">
        <w:rPr>
          <w:rFonts w:ascii="Tahoma" w:hAnsi="Tahoma" w:cs="Tahoma"/>
          <w:sz w:val="20"/>
          <w:szCs w:val="20"/>
        </w:rPr>
        <w:t xml:space="preserve"> ocenjeni na osnovi primerjave z mejnimi vrednostmi določenimi z določbami predpisov</w:t>
      </w:r>
      <w:r w:rsidR="005C0F7B" w:rsidRPr="00116B49">
        <w:rPr>
          <w:rFonts w:ascii="Tahoma" w:hAnsi="Tahoma" w:cs="Tahoma"/>
          <w:sz w:val="20"/>
          <w:szCs w:val="20"/>
        </w:rPr>
        <w:t xml:space="preserve"> v</w:t>
      </w:r>
      <w:r w:rsidR="00CE2F13" w:rsidRPr="00116B49">
        <w:rPr>
          <w:rFonts w:ascii="Tahoma" w:hAnsi="Tahoma" w:cs="Tahoma"/>
          <w:sz w:val="20"/>
          <w:szCs w:val="20"/>
        </w:rPr>
        <w:t xml:space="preserve"> RS</w:t>
      </w:r>
      <w:bookmarkStart w:id="1" w:name="_Toc80445233"/>
      <w:bookmarkStart w:id="2" w:name="_Toc80452465"/>
      <w:bookmarkStart w:id="3" w:name="_Toc80584393"/>
      <w:bookmarkStart w:id="4" w:name="_Toc80584535"/>
      <w:bookmarkStart w:id="5" w:name="_Toc80587837"/>
      <w:bookmarkStart w:id="6" w:name="_Toc80591465"/>
      <w:bookmarkEnd w:id="1"/>
      <w:bookmarkEnd w:id="2"/>
      <w:bookmarkEnd w:id="3"/>
      <w:bookmarkEnd w:id="4"/>
      <w:bookmarkEnd w:id="5"/>
      <w:bookmarkEnd w:id="6"/>
      <w:r w:rsidR="00CE2F13" w:rsidRPr="00116B49">
        <w:rPr>
          <w:rFonts w:ascii="Tahoma" w:hAnsi="Tahoma" w:cs="Tahoma"/>
          <w:sz w:val="20"/>
          <w:szCs w:val="20"/>
        </w:rPr>
        <w:t>.</w:t>
      </w:r>
    </w:p>
    <w:p w:rsidR="00CE2F13" w:rsidRPr="00116B49" w:rsidRDefault="00CE2F13" w:rsidP="00CE2F13">
      <w:pPr>
        <w:rPr>
          <w:rFonts w:ascii="Tahoma" w:hAnsi="Tahoma" w:cs="Tahoma"/>
          <w:b/>
          <w:bCs/>
          <w:sz w:val="20"/>
          <w:szCs w:val="20"/>
        </w:rPr>
      </w:pPr>
    </w:p>
    <w:p w:rsidR="00CE2F13" w:rsidRPr="00116B49" w:rsidRDefault="00CE2F13" w:rsidP="00CE2F13">
      <w:pPr>
        <w:rPr>
          <w:rFonts w:ascii="Tahoma" w:hAnsi="Tahoma" w:cs="Tahoma"/>
          <w:sz w:val="20"/>
          <w:szCs w:val="20"/>
        </w:rPr>
      </w:pPr>
    </w:p>
    <w:p w:rsidR="00CE2F13" w:rsidRPr="00116B49" w:rsidRDefault="00CE2F13" w:rsidP="00CE2F13">
      <w:pPr>
        <w:rPr>
          <w:rFonts w:ascii="Tahoma" w:hAnsi="Tahoma" w:cs="Tahoma"/>
          <w:b/>
          <w:bCs/>
          <w:sz w:val="20"/>
          <w:szCs w:val="20"/>
        </w:rPr>
      </w:pPr>
      <w:bookmarkStart w:id="7" w:name="_Toc226255404"/>
      <w:r w:rsidRPr="00116B49">
        <w:rPr>
          <w:rFonts w:ascii="Tahoma" w:hAnsi="Tahoma" w:cs="Tahoma"/>
          <w:b/>
          <w:bCs/>
          <w:sz w:val="20"/>
          <w:szCs w:val="20"/>
        </w:rPr>
        <w:t>Tabela 1: Seznam parametrov fizikalno - kemijske analize vode</w:t>
      </w:r>
      <w:bookmarkEnd w:id="7"/>
      <w:r w:rsidR="00A061A0" w:rsidRPr="00116B49">
        <w:t xml:space="preserve"> </w:t>
      </w:r>
      <w:r w:rsidR="00A061A0" w:rsidRPr="00116B49">
        <w:rPr>
          <w:rFonts w:ascii="Tahoma" w:hAnsi="Tahoma" w:cs="Tahoma"/>
          <w:b/>
          <w:bCs/>
          <w:sz w:val="20"/>
          <w:szCs w:val="20"/>
        </w:rPr>
        <w:t>potoka Graben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708"/>
        <w:gridCol w:w="851"/>
        <w:gridCol w:w="3402"/>
        <w:gridCol w:w="30"/>
      </w:tblGrid>
      <w:tr w:rsidR="00116B49" w:rsidRPr="00116B49" w:rsidTr="00A061A0">
        <w:trPr>
          <w:cantSplit/>
          <w:trHeight w:val="276"/>
          <w:tblHeader/>
        </w:trPr>
        <w:tc>
          <w:tcPr>
            <w:tcW w:w="3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Parameter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Izražen kot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cantSplit/>
          <w:trHeight w:val="1397"/>
          <w:tblHeader/>
        </w:trPr>
        <w:tc>
          <w:tcPr>
            <w:tcW w:w="3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1A0" w:rsidRPr="00116B49" w:rsidRDefault="00A061A0" w:rsidP="00A061A0">
            <w:pPr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Temperatura zraka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116B49">
              <w:rPr>
                <w:rFonts w:ascii="Tahoma" w:hAnsi="Tahoma" w:cs="Tahoma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Temperatura vode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116B49">
              <w:rPr>
                <w:rFonts w:ascii="Tahoma" w:hAnsi="Tahoma" w:cs="Tahoma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PH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</w:rPr>
              <w:t>Elektroprevodnost</w:t>
            </w:r>
            <w:proofErr w:type="spellEnd"/>
            <w:r w:rsidRPr="00116B49">
              <w:rPr>
                <w:rFonts w:ascii="Tahoma" w:hAnsi="Tahoma" w:cs="Tahoma"/>
                <w:sz w:val="20"/>
                <w:szCs w:val="20"/>
              </w:rPr>
              <w:t xml:space="preserve"> (25</w:t>
            </w:r>
            <w:r w:rsidRPr="00116B49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116B49">
              <w:rPr>
                <w:rFonts w:ascii="Tahoma" w:hAnsi="Tahoma" w:cs="Tahoma"/>
                <w:sz w:val="20"/>
                <w:szCs w:val="20"/>
              </w:rPr>
              <w:t>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</w:rPr>
              <w:t>uS</w:t>
            </w:r>
            <w:proofErr w:type="spellEnd"/>
            <w:r w:rsidRPr="00116B49">
              <w:rPr>
                <w:rFonts w:ascii="Tahoma" w:hAnsi="Tahoma" w:cs="Tahoma"/>
                <w:sz w:val="20"/>
                <w:szCs w:val="20"/>
              </w:rPr>
              <w:t>/cm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cantSplit/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Kisik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O</w:t>
            </w:r>
            <w:r w:rsidRPr="00116B49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cantSplit/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Nasičenost s kisikom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3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Neraztopljene snovi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Skupni organski ogljik (TOC)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Kemijska potreba po kisiku-KPK (KMnO</w:t>
            </w:r>
            <w:r w:rsidRPr="00116B49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  <w:r w:rsidRPr="00116B4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KMnO</w:t>
            </w:r>
            <w:r w:rsidRPr="00116B49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3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Amonij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NH</w:t>
            </w:r>
            <w:r w:rsidRPr="00116B49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Nitrati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NO</w:t>
            </w:r>
            <w:r w:rsidRPr="00116B49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3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Nitriti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NO</w:t>
            </w:r>
            <w:r w:rsidRPr="00116B49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Kloridi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Natrij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Kadmij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</w:rPr>
              <w:t>ug</w:t>
            </w:r>
            <w:proofErr w:type="spellEnd"/>
            <w:r w:rsidRPr="00116B49">
              <w:rPr>
                <w:rFonts w:ascii="Tahoma" w:hAnsi="Tahoma" w:cs="Tahoma"/>
                <w:sz w:val="20"/>
                <w:szCs w:val="20"/>
              </w:rPr>
              <w:t>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Svinec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</w:rPr>
              <w:t>ug</w:t>
            </w:r>
            <w:proofErr w:type="spellEnd"/>
            <w:r w:rsidRPr="00116B49">
              <w:rPr>
                <w:rFonts w:ascii="Tahoma" w:hAnsi="Tahoma" w:cs="Tahoma"/>
                <w:sz w:val="20"/>
                <w:szCs w:val="20"/>
              </w:rPr>
              <w:t>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Živo srebro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</w:rPr>
              <w:t>ug</w:t>
            </w:r>
            <w:proofErr w:type="spellEnd"/>
            <w:r w:rsidRPr="00116B49">
              <w:rPr>
                <w:rFonts w:ascii="Tahoma" w:hAnsi="Tahoma" w:cs="Tahoma"/>
                <w:sz w:val="20"/>
                <w:szCs w:val="20"/>
              </w:rPr>
              <w:t>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</w:rPr>
              <w:t>Hg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3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Mineralna olja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3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Fenolne snovi (hlapne z vodno paro)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</w:rPr>
              <w:t>ug</w:t>
            </w:r>
            <w:proofErr w:type="spellEnd"/>
            <w:r w:rsidRPr="00116B49">
              <w:rPr>
                <w:rFonts w:ascii="Tahoma" w:hAnsi="Tahoma" w:cs="Tahoma"/>
                <w:sz w:val="20"/>
                <w:szCs w:val="20"/>
              </w:rPr>
              <w:t>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  <w:lang w:val="en-GB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  <w:lang w:val="en-GB"/>
              </w:rPr>
              <w:t>Adsorbljivi</w:t>
            </w:r>
            <w:proofErr w:type="spellEnd"/>
            <w:r w:rsidRPr="00116B4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6B49">
              <w:rPr>
                <w:rFonts w:ascii="Tahoma" w:hAnsi="Tahoma" w:cs="Tahoma"/>
                <w:sz w:val="20"/>
                <w:szCs w:val="20"/>
                <w:lang w:val="en-GB"/>
              </w:rPr>
              <w:t>organski</w:t>
            </w:r>
            <w:proofErr w:type="spellEnd"/>
            <w:r w:rsidRPr="00116B4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6B49">
              <w:rPr>
                <w:rFonts w:ascii="Tahoma" w:hAnsi="Tahoma" w:cs="Tahoma"/>
                <w:sz w:val="20"/>
                <w:szCs w:val="20"/>
                <w:lang w:val="en-GB"/>
              </w:rPr>
              <w:t>halogeni</w:t>
            </w:r>
            <w:proofErr w:type="spellEnd"/>
            <w:r w:rsidRPr="00116B49">
              <w:rPr>
                <w:rFonts w:ascii="Tahoma" w:hAnsi="Tahoma" w:cs="Tahoma"/>
                <w:sz w:val="20"/>
                <w:szCs w:val="20"/>
                <w:lang w:val="en-GB"/>
              </w:rPr>
              <w:t xml:space="preserve"> (AO</w:t>
            </w:r>
            <w:r w:rsidRPr="00116B49">
              <w:rPr>
                <w:rFonts w:ascii="Tahoma" w:hAnsi="Tahoma" w:cs="Tahoma"/>
                <w:sz w:val="20"/>
                <w:szCs w:val="20"/>
                <w:vertAlign w:val="subscript"/>
                <w:lang w:val="en-GB"/>
              </w:rPr>
              <w:t>X</w:t>
            </w:r>
            <w:r w:rsidRPr="00116B49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</w:rPr>
              <w:t>ug</w:t>
            </w:r>
            <w:proofErr w:type="spellEnd"/>
            <w:r w:rsidRPr="00116B49">
              <w:rPr>
                <w:rFonts w:ascii="Tahoma" w:hAnsi="Tahoma" w:cs="Tahoma"/>
                <w:sz w:val="20"/>
                <w:szCs w:val="20"/>
              </w:rPr>
              <w:t>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2F13" w:rsidRPr="00116B49" w:rsidRDefault="00CE2F13" w:rsidP="00CE2F13">
      <w:pPr>
        <w:rPr>
          <w:rFonts w:ascii="Tahoma" w:hAnsi="Tahoma" w:cs="Tahoma"/>
          <w:sz w:val="20"/>
          <w:szCs w:val="20"/>
        </w:rPr>
      </w:pPr>
    </w:p>
    <w:p w:rsidR="00CE2F13" w:rsidRPr="00116B49" w:rsidRDefault="00CE2F13" w:rsidP="00CE2F13">
      <w:pPr>
        <w:rPr>
          <w:rFonts w:ascii="Tahoma" w:hAnsi="Tahoma" w:cs="Tahoma"/>
          <w:b/>
          <w:bCs/>
          <w:sz w:val="20"/>
          <w:szCs w:val="20"/>
        </w:rPr>
      </w:pPr>
      <w:bookmarkStart w:id="8" w:name="_Toc226255405"/>
      <w:r w:rsidRPr="00116B49">
        <w:rPr>
          <w:rFonts w:ascii="Tahoma" w:hAnsi="Tahoma" w:cs="Tahoma"/>
          <w:b/>
          <w:bCs/>
          <w:sz w:val="20"/>
          <w:szCs w:val="20"/>
        </w:rPr>
        <w:t xml:space="preserve">Tabela </w:t>
      </w:r>
      <w:r w:rsidR="00A061A0" w:rsidRPr="00116B49">
        <w:rPr>
          <w:rFonts w:ascii="Tahoma" w:hAnsi="Tahoma" w:cs="Tahoma"/>
          <w:b/>
          <w:bCs/>
          <w:sz w:val="20"/>
          <w:szCs w:val="20"/>
        </w:rPr>
        <w:t>2</w:t>
      </w:r>
      <w:r w:rsidRPr="00116B49">
        <w:rPr>
          <w:rFonts w:ascii="Tahoma" w:hAnsi="Tahoma" w:cs="Tahoma"/>
          <w:b/>
          <w:bCs/>
          <w:sz w:val="20"/>
          <w:szCs w:val="20"/>
        </w:rPr>
        <w:t>: Seznam parametrov fizikalno - kemijske analize sedimenta potoka Graben</w:t>
      </w:r>
      <w:bookmarkEnd w:id="8"/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708"/>
        <w:gridCol w:w="851"/>
        <w:gridCol w:w="3402"/>
        <w:gridCol w:w="179"/>
      </w:tblGrid>
      <w:tr w:rsidR="00116B49" w:rsidRPr="00116B49" w:rsidTr="00A061A0">
        <w:trPr>
          <w:cantSplit/>
          <w:trHeight w:val="276"/>
          <w:tblHeader/>
        </w:trPr>
        <w:tc>
          <w:tcPr>
            <w:tcW w:w="3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Parameter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Enota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Izražen kot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  <w:bookmarkStart w:id="9" w:name="_GoBack"/>
            <w:bookmarkEnd w:id="9"/>
          </w:p>
        </w:tc>
        <w:tc>
          <w:tcPr>
            <w:tcW w:w="179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cantSplit/>
          <w:trHeight w:val="1002"/>
          <w:tblHeader/>
        </w:trPr>
        <w:tc>
          <w:tcPr>
            <w:tcW w:w="3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1A0" w:rsidRPr="00116B49" w:rsidRDefault="00A061A0" w:rsidP="00A061A0">
            <w:pPr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1A0" w:rsidRPr="00116B49" w:rsidRDefault="00A061A0" w:rsidP="00A061A0">
            <w:pPr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179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Skupni organski ogljik – TOC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Kadmij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Svinec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B49">
              <w:rPr>
                <w:rFonts w:ascii="Tahoma" w:hAnsi="Tahoma" w:cs="Tahoma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Mineralna olja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B49" w:rsidRPr="00116B49" w:rsidTr="00A061A0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Ekstrahirani organski halogeni – EO</w:t>
            </w:r>
            <w:r w:rsidRPr="00116B49">
              <w:rPr>
                <w:rFonts w:ascii="Tahoma" w:hAnsi="Tahoma" w:cs="Tahoma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mg/kg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061A0" w:rsidRPr="00116B49" w:rsidRDefault="00A061A0" w:rsidP="00A06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B49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" w:type="dxa"/>
            <w:vAlign w:val="center"/>
            <w:hideMark/>
          </w:tcPr>
          <w:p w:rsidR="00A061A0" w:rsidRPr="00116B49" w:rsidRDefault="00A061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E2F13" w:rsidRPr="00116B49" w:rsidRDefault="00CE2F13" w:rsidP="00CE2F13">
      <w:pPr>
        <w:rPr>
          <w:rFonts w:ascii="Tahoma" w:eastAsiaTheme="minorHAnsi" w:hAnsi="Tahoma" w:cs="Tahoma"/>
          <w:sz w:val="20"/>
          <w:szCs w:val="20"/>
        </w:rPr>
      </w:pPr>
      <w:bookmarkStart w:id="10" w:name="_Toc202596320"/>
      <w:bookmarkEnd w:id="10"/>
    </w:p>
    <w:p w:rsidR="00556816" w:rsidRPr="00116B49" w:rsidRDefault="00556816">
      <w:pPr>
        <w:rPr>
          <w:rFonts w:ascii="Tahoma" w:hAnsi="Tahoma" w:cs="Tahoma"/>
          <w:sz w:val="20"/>
          <w:szCs w:val="20"/>
        </w:rPr>
      </w:pPr>
    </w:p>
    <w:sectPr w:rsidR="00556816" w:rsidRPr="00116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BF" w:rsidRDefault="002233BF">
      <w:r>
        <w:separator/>
      </w:r>
    </w:p>
  </w:endnote>
  <w:endnote w:type="continuationSeparator" w:id="0">
    <w:p w:rsidR="002233BF" w:rsidRDefault="0022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16B4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16B49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BF" w:rsidRDefault="002233BF">
      <w:r>
        <w:separator/>
      </w:r>
    </w:p>
  </w:footnote>
  <w:footnote w:type="continuationSeparator" w:id="0">
    <w:p w:rsidR="002233BF" w:rsidRDefault="0022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646A9"/>
    <w:rsid w:val="00116B49"/>
    <w:rsid w:val="00122DC1"/>
    <w:rsid w:val="00123518"/>
    <w:rsid w:val="001836BB"/>
    <w:rsid w:val="00216549"/>
    <w:rsid w:val="002233BF"/>
    <w:rsid w:val="002507C2"/>
    <w:rsid w:val="00290551"/>
    <w:rsid w:val="003133A6"/>
    <w:rsid w:val="003560E2"/>
    <w:rsid w:val="003579C0"/>
    <w:rsid w:val="00364FA9"/>
    <w:rsid w:val="003C250F"/>
    <w:rsid w:val="003F619C"/>
    <w:rsid w:val="00424A5A"/>
    <w:rsid w:val="0044323F"/>
    <w:rsid w:val="004B34B5"/>
    <w:rsid w:val="00556816"/>
    <w:rsid w:val="00597ED0"/>
    <w:rsid w:val="005C0F7B"/>
    <w:rsid w:val="00615322"/>
    <w:rsid w:val="00634B0D"/>
    <w:rsid w:val="00635C00"/>
    <w:rsid w:val="00637BE6"/>
    <w:rsid w:val="006842C2"/>
    <w:rsid w:val="00685EE5"/>
    <w:rsid w:val="006A2922"/>
    <w:rsid w:val="009066DD"/>
    <w:rsid w:val="009814DC"/>
    <w:rsid w:val="009B1FD9"/>
    <w:rsid w:val="009D6B70"/>
    <w:rsid w:val="009E68DA"/>
    <w:rsid w:val="00A05C73"/>
    <w:rsid w:val="00A061A0"/>
    <w:rsid w:val="00A17575"/>
    <w:rsid w:val="00A61CE4"/>
    <w:rsid w:val="00AD3747"/>
    <w:rsid w:val="00B75B37"/>
    <w:rsid w:val="00BE1F16"/>
    <w:rsid w:val="00BF3615"/>
    <w:rsid w:val="00C74E25"/>
    <w:rsid w:val="00CB0ED5"/>
    <w:rsid w:val="00CD7139"/>
    <w:rsid w:val="00CE2F13"/>
    <w:rsid w:val="00CF35AC"/>
    <w:rsid w:val="00D326E4"/>
    <w:rsid w:val="00D846EE"/>
    <w:rsid w:val="00DB7CDA"/>
    <w:rsid w:val="00E51016"/>
    <w:rsid w:val="00E66D5B"/>
    <w:rsid w:val="00E813F4"/>
    <w:rsid w:val="00EA1375"/>
    <w:rsid w:val="00F0225A"/>
    <w:rsid w:val="00F17FDD"/>
    <w:rsid w:val="00F22844"/>
    <w:rsid w:val="00F8170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7</cp:revision>
  <cp:lastPrinted>2021-04-07T12:44:00Z</cp:lastPrinted>
  <dcterms:created xsi:type="dcterms:W3CDTF">2021-04-07T12:44:00Z</dcterms:created>
  <dcterms:modified xsi:type="dcterms:W3CDTF">2021-04-09T06:10:00Z</dcterms:modified>
</cp:coreProperties>
</file>